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Arial" w:cs="Arial" w:eastAsia="Arial" w:hAnsi="Arial"/>
          <w:color w:val="4472c4"/>
        </w:rPr>
      </w:pPr>
      <w:bookmarkStart w:colFirst="0" w:colLast="0" w:name="_heading=h.iwuhywt3mboz" w:id="0"/>
      <w:bookmarkEnd w:id="0"/>
      <w:r w:rsidDel="00000000" w:rsidR="00000000" w:rsidRPr="00000000">
        <w:rPr>
          <w:rFonts w:ascii="Arial" w:cs="Arial" w:eastAsia="Arial" w:hAnsi="Arial"/>
          <w:color w:val="4472c4"/>
          <w:rtl w:val="0"/>
        </w:rPr>
        <w:t xml:space="preserve">Test Utilization to Advocate for Your Lab</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Test utilization refers to the appropriate and effective use of laboratory tests to optimize patient care. Advocating for the clinical laboratory through test utilization involves demonstrating the value and impact of thoughtful test ordering and result interpretation. By advocating for the clinical laboratory through test utilization, you position the laboratory as a key partner in delivering high-quality, cost-effective healthcare. Emphasizing the importance of evidence-based testing decisions and the impact on patient outcomes strengthens the laboratory's role within the broader healthcare ecosystem. </w:t>
      </w:r>
    </w:p>
    <w:p w:rsidR="00000000" w:rsidDel="00000000" w:rsidP="00000000" w:rsidRDefault="00000000" w:rsidRPr="00000000" w14:paraId="00000003">
      <w:pPr>
        <w:rPr>
          <w:rFonts w:ascii="Arial" w:cs="Arial" w:eastAsia="Arial" w:hAnsi="Arial"/>
          <w:b w:val="1"/>
          <w:color w:val="4472c4"/>
          <w:sz w:val="28"/>
          <w:szCs w:val="28"/>
        </w:rPr>
      </w:pPr>
      <w:r w:rsidDel="00000000" w:rsidR="00000000" w:rsidRPr="00000000">
        <w:rPr>
          <w:rFonts w:ascii="Arial" w:cs="Arial" w:eastAsia="Arial" w:hAnsi="Arial"/>
          <w:b w:val="1"/>
          <w:color w:val="4472c4"/>
          <w:sz w:val="28"/>
          <w:szCs w:val="28"/>
          <w:rtl w:val="0"/>
        </w:rPr>
        <w:t xml:space="preserve">Here are several strategies to leverage test utilization for advocacy:</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b w:val="1"/>
          <w:rtl w:val="0"/>
        </w:rPr>
        <w:t xml:space="preserve">Cost-Effectiveness</w:t>
      </w: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Emphasize the role of the clinical laboratory in promoting cost-effective healthcare. By optimizing test utilization, unnecessary testing can be reduced, leading to cost savings for both patients and healthcare systems.</w:t>
      </w:r>
    </w:p>
    <w:p w:rsidR="00000000" w:rsidDel="00000000" w:rsidP="00000000" w:rsidRDefault="00000000" w:rsidRPr="00000000" w14:paraId="00000006">
      <w:pPr>
        <w:rPr>
          <w:rFonts w:ascii="Arial" w:cs="Arial" w:eastAsia="Arial" w:hAnsi="Arial"/>
          <w:b w:val="1"/>
        </w:rPr>
      </w:pPr>
      <w:r w:rsidDel="00000000" w:rsidR="00000000" w:rsidRPr="00000000">
        <w:rPr>
          <w:rFonts w:ascii="Arial" w:cs="Arial" w:eastAsia="Arial" w:hAnsi="Arial"/>
          <w:b w:val="1"/>
          <w:rtl w:val="0"/>
        </w:rPr>
        <w:t xml:space="preserve">Insurance Denials</w:t>
      </w:r>
    </w:p>
    <w:p w:rsidR="00000000" w:rsidDel="00000000" w:rsidP="00000000" w:rsidRDefault="00000000" w:rsidRPr="00000000" w14:paraId="00000007">
      <w:pPr>
        <w:rPr>
          <w:rFonts w:ascii="Arial" w:cs="Arial" w:eastAsia="Arial" w:hAnsi="Arial"/>
          <w:u w:val="single"/>
        </w:rPr>
      </w:pPr>
      <w:r w:rsidDel="00000000" w:rsidR="00000000" w:rsidRPr="00000000">
        <w:rPr>
          <w:rFonts w:ascii="Arial" w:cs="Arial" w:eastAsia="Arial" w:hAnsi="Arial"/>
          <w:rtl w:val="0"/>
        </w:rPr>
        <w:t xml:space="preserve">Work with finance to identify tests with the highest denial rate i.e. Vitamin D</w:t>
      </w: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rtl w:val="0"/>
        </w:rPr>
        <w:t xml:space="preserve">Educational Initiatives</w:t>
      </w: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Implement educational programs for healthcare providers to enhance their understanding of appropriate test ordering and interpretation. Showcase the laboratory's role in providing educational resources to support evidence-based testing decisions.</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b w:val="1"/>
          <w:rtl w:val="0"/>
        </w:rPr>
        <w:t xml:space="preserve">Clinical Decision Support</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Advocate for the integration of clinical decision support tools that guide healthcare providers in selecting the most appropriate tests based on clinical indications. Demonstrating the effectiveness of such tools in improving test utilization reinforces the value of the clinical laboratory.</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b w:val="1"/>
          <w:rtl w:val="0"/>
        </w:rPr>
        <w:t xml:space="preserve">Reducing Over-Testing and Under-Testing</w:t>
      </w: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Highlight efforts to minimize both over-testing and under-testing. Over-testing can lead to unnecessary costs and potential harm, while under-testing may result in missed diagnoses. Showcase the laboratory's contributions to achieving a balanced and patient-centered approach.</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b w:val="1"/>
          <w:rtl w:val="0"/>
        </w:rPr>
        <w:t xml:space="preserve">Quality Improvement Initiatives</w:t>
      </w: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Showcase quality improvement initiatives aimed at optimizing test utilization. This may involve regular audits, feedback mechanisms, and continuous improvement projects to ensure that testing aligns with best practices and clinical guidelines.</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b w:val="1"/>
          <w:rtl w:val="0"/>
        </w:rPr>
        <w:t xml:space="preserve">Clinical Guidelines and Protocols</w:t>
      </w: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Collaborate with healthcare providers to develop and promote adherence to evidence-based clinical guidelines and protocols for test ordering. Illustrate how following established guidelines contributes to improved patient outcomes and resource efficiency.</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b w:val="1"/>
          <w:rtl w:val="0"/>
        </w:rPr>
        <w:t xml:space="preserve">Customized Test Panels</w:t>
      </w: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Offer customized test panels that align with specific clinical scenarios. This can streamline the ordering process for healthcare providers and ensure that relevant tests are included while avoiding unnecessary ones.</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b w:val="1"/>
          <w:rtl w:val="0"/>
        </w:rPr>
        <w:t xml:space="preserve">Feedback Loops</w:t>
      </w: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Establish feedback loops with clinicians to discuss test utilization patterns and explore opportunities for improvement. Open communication channels facilitate collaboration and provide valuable insights for refining testing strategies.</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b w:val="1"/>
          <w:rtl w:val="0"/>
        </w:rPr>
        <w:t xml:space="preserve">Data Analytics</w:t>
      </w: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Utilize data analytics to identify trends and patterns in test utilization. This information can guide discussions on areas for improvement, resource allocation, and the development of targeted interventions to enhance test ordering practices.</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b w:val="1"/>
          <w:rtl w:val="0"/>
        </w:rPr>
        <w:t xml:space="preserve">Patient-Centered Care</w:t>
      </w: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Emphasize the role of test utilization in delivering patient-centered care. Ensuring that tests are ordered judiciously and provide actionable information contributes to a personalized and effective approach to patient management.</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b w:val="1"/>
          <w:rtl w:val="0"/>
        </w:rPr>
        <w:t xml:space="preserve">Provider Satisfaction</w:t>
      </w: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Assess provider satisfaction with laboratory services related to test utilization. Positive feedback on the relevance and usefulness of laboratory testing supports the argument for the laboratory's integral role in patient care.</w:t>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b w:val="1"/>
          <w:rtl w:val="0"/>
        </w:rPr>
        <w:t xml:space="preserve">Outcomes Improvement</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Demonstrate how strategic test utilization contributes to improved patient outcomes. Showcase cases where appropriate testing led to timely diagnosis, targeted treatments, and enhanced overall patient care.</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F">
      <w:pPr>
        <w:rPr>
          <w:rFonts w:ascii="Arial" w:cs="Arial" w:eastAsia="Arial" w:hAnsi="Arial"/>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2W9DuP7qkGx05aQJ4c2cnSgKpg==">CgMxLjAyDmguaXd1aHl3dDNtYm96OAByITF3REpjeFRTOVBvdFZnZDFCbVN6MlJaNjBhZ2QteERmYg==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2024-03-14T18:58:00Z</dcterms:created>
  <dc:creator>Abumuhor, Ihab A</dc:creator>
</cp:coreProperties>
</file>